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rFonts w:ascii="Times New Roman" w:hAnsi="Times New Roman" w:eastAsia="Times New Roman"/>
          <w:b w:val="0"/>
          <w:sz w:val="28"/>
        </w:rPr>
        <w:t>Тематика дипломных работ на 2025/2026 уч.г.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6"/>
        <w:gridCol w:w="5046"/>
      </w:tblGrid>
      <w:tr>
        <w:trPr>
          <w:cantSplit/>
        </w:trPr>
        <w:tc>
          <w:tcPr>
            <w:tcW w:type="dxa" w:w="4309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vAlign w:val="center"/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  <w:vAlign w:val="center"/>
          </w:tcPr>
          <w:p>
            <w:pPr>
              <w:spacing w:after="0" w:line="240" w:lineRule="auto" w:before="0"/>
              <w:jc w:val="center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Темы</w:t>
            </w:r>
          </w:p>
        </w:tc>
      </w:tr>
      <w:tr>
        <w:trPr>
          <w:cantSplit/>
        </w:trPr>
        <w:tc>
          <w:tcPr>
            <w:tcW w:type="dxa" w:w="430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Сидорова С.Г., к.б.н., зав. кафедры</w:t>
            </w:r>
          </w:p>
        </w:tc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6"/>
              </w:rPr>
              <w:t>Антагонистическая активность бактерий р. Bacillus в отношении грибов рода Fusarium Link. – возбудителей микозов зерновых культур в Республике Беларусь.</w:t>
            </w:r>
          </w:p>
        </w:tc>
      </w:tr>
      <w:tr>
        <w:trPr>
          <w:cantSplit/>
        </w:trPr>
        <w:tc>
          <w:tcPr>
            <w:tcW w:type="dxa" w:w="430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Храмцов А.К., к.б.н., доцент</w:t>
            </w:r>
          </w:p>
        </w:tc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6"/>
              </w:rPr>
              <w:t>Фитопатогенные микромицеты на территории города Несвижа.</w:t>
            </w:r>
          </w:p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Фитопатогенные микромицеты в северной части Бобруйского района.</w:t>
            </w:r>
          </w:p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Фитопатогенные микромицеты на территории микрорайона Уручье города Минска.</w:t>
            </w:r>
          </w:p>
        </w:tc>
      </w:tr>
      <w:tr>
        <w:trPr>
          <w:cantSplit/>
        </w:trPr>
        <w:tc>
          <w:tcPr>
            <w:tcW w:type="dxa" w:w="430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Поликсенова В.Д., к.с.-х.н., доцент</w:t>
            </w:r>
          </w:p>
        </w:tc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6"/>
              </w:rPr>
              <w:t>Планктонные водоросли водохранилища Лошица города Минска.</w:t>
            </w:r>
          </w:p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Анализ состава фитопрепаратов, применяемых при заболеваниях почек и мочевого пузыря.</w:t>
            </w:r>
          </w:p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Фитохимический анализ павловнии листьев (Paulownia tomentosa × P. fortune).</w:t>
            </w:r>
          </w:p>
        </w:tc>
      </w:tr>
      <w:tr>
        <w:trPr>
          <w:cantSplit/>
        </w:trPr>
        <w:tc>
          <w:tcPr>
            <w:tcW w:type="dxa" w:w="430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Сысой И.П., к.б.н., доцент</w:t>
            </w:r>
          </w:p>
        </w:tc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6"/>
              </w:rPr>
              <w:t>Видовой состав сосудистых растений мест захоронений города Минска на примере Черниговского, Сухаревского, Пионерского и Восточного кладбищ.</w:t>
            </w:r>
          </w:p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Видовой состав сосудистых растений г. Пружаны.</w:t>
            </w:r>
          </w:p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Состав и анализ флоры сосудистых растений аг. Рубель Столинского района Брестской области</w:t>
            </w:r>
          </w:p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Видовой состав сосудистых растений аг. Жемчужный Барановичского района.</w:t>
            </w:r>
          </w:p>
        </w:tc>
      </w:tr>
      <w:tr>
        <w:trPr>
          <w:cantSplit/>
        </w:trPr>
        <w:tc>
          <w:tcPr>
            <w:tcW w:type="dxa" w:w="430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Садковская А.И., старший преподаватель</w:t>
            </w:r>
          </w:p>
        </w:tc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6"/>
              </w:rPr>
              <w:t>Эколого-ценотические особенности некоторых видов лекарственных растений на территории Полоцкого лесничества.</w:t>
            </w:r>
          </w:p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Морфо-ценотические характеристики ценопопуляций инвазивного вида Solidago canadensis (г. Минск).</w:t>
            </w:r>
          </w:p>
        </w:tc>
      </w:tr>
      <w:tr>
        <w:trPr>
          <w:cantSplit/>
        </w:trPr>
        <w:tc>
          <w:tcPr>
            <w:tcW w:type="dxa" w:w="430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0" w:line="240" w:lineRule="auto" w:before="0"/>
              <w:jc w:val="left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b w:val="0"/>
                <w:i w:val="0"/>
                <w:sz w:val="26"/>
              </w:rPr>
              <w:t>Стадниченко М.А., старший преподаватель</w:t>
            </w:r>
          </w:p>
        </w:tc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  <w:tcBorders>
              <w:top w:sz="8" w:val="single" w:color="000000"/>
              <w:left w:sz="8" w:val="single" w:color="000000"/>
              <w:bottom w:sz="8" w:val="single" w:color="000000"/>
              <w:right w:sz="8" w:val="single" w:color="000000"/>
            </w:tcBorders>
          </w:tcPr>
          <w:p>
            <w:pPr>
              <w:spacing w:after="160" w:line="240" w:lineRule="auto" w:before="0"/>
            </w:pPr>
            <w:r>
              <w:rPr>
                <w:rFonts w:ascii="Times New Roman" w:hAnsi="Times New Roman" w:eastAsia="Times New Roman"/>
              </w:rPr>
            </w:r>
            <w:r>
              <w:rPr>
                <w:rFonts w:ascii="Times New Roman" w:hAnsi="Times New Roman" w:eastAsia="Times New Roman"/>
                <w:sz w:val="26"/>
              </w:rPr>
              <w:t>Возбудители болезней моркови и антагонистическое действие грибов рода Trichoderma по отношению к ним.</w:t>
            </w:r>
          </w:p>
          <w:p>
            <w:pPr>
              <w:spacing w:after="0" w:line="240" w:lineRule="auto" w:before="0"/>
            </w:pPr>
            <w:r>
              <w:rPr>
                <w:rFonts w:ascii="Times New Roman" w:hAnsi="Times New Roman" w:eastAsia="Times New Roman"/>
                <w:sz w:val="26"/>
              </w:rPr>
              <w:t>Антагонистическая активность актиномицетов по отношению к возбудителям альтернариоза.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