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60"/>
        <w:jc w:val="center"/>
      </w:pPr>
      <w:r>
        <w:rPr>
          <w:rFonts w:ascii="Times New Roman" w:hAnsi="Times New Roman" w:eastAsia="Times New Roman"/>
          <w:b w:val="0"/>
          <w:sz w:val="28"/>
        </w:rPr>
        <w:t>Тематика дипломных работ на 2025/2026 уч.г.</w:t>
      </w:r>
    </w:p>
    <w:tbl>
      <w:tblPr>
        <w:tblStyle w:val="TableGrid"/>
        <w:tblW w:type="dxa" w:w="9620"/>
        <w:jc w:val="center"/>
        <w:tblLayout w:type="fixed"/>
        <w:tblLook w:firstColumn="1" w:firstRow="1" w:lastColumn="0" w:lastRow="0" w:noHBand="0" w:noVBand="1" w:val="04A0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</w:tblPr>
      <w:tblGrid>
        <w:gridCol w:w="4810"/>
        <w:gridCol w:w="4810"/>
      </w:tblGrid>
      <w:tr>
        <w:tc>
          <w:tcPr>
            <w:tcW w:type="dxa" w:w="4810"/>
            <w:vAlign w:val="center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ФИО научного руководителя, ученая</w:t>
            </w:r>
          </w:p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8"/>
              </w:rPr>
              <w:t>степень, звание</w:t>
            </w:r>
          </w:p>
        </w:tc>
        <w:tc>
          <w:tcPr>
            <w:tcW w:type="dxa" w:w="4810"/>
            <w:vAlign w:val="center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Темы</w:t>
            </w:r>
          </w:p>
        </w:tc>
      </w:tr>
      <w:tr>
        <w:tc>
          <w:tcPr>
            <w:tcW w:type="dxa" w:w="4810"/>
            <w:vAlign w:val="top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Веремеенко Екатерина Геннадьевна, к.б.н., доцент</w:t>
            </w:r>
          </w:p>
        </w:tc>
        <w:tc>
          <w:tcPr>
            <w:tcW w:type="dxa" w:w="4810"/>
            <w:vAlign w:val="top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before="0" w:after="20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Молекулярно-генетические механизмы чувствительности клинических изолятов различных видов Candida к соединениям феназинового ряда;</w:t>
            </w:r>
          </w:p>
          <w:p>
            <w:pPr>
              <w:spacing w:before="0" w:after="20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8"/>
              </w:rPr>
              <w:t>Выделение и идентификация продуцентов наттокиназы;</w:t>
            </w:r>
          </w:p>
          <w:p>
            <w:pPr>
              <w:spacing w:before="0" w:after="20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8"/>
              </w:rPr>
              <w:t>Изменения в экспрессии генов систем антиоксидантной защиты и везикулярного транспорта в нормальных и малигнизированных клеточных линиях под действием феназинов.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8"/>
              </w:rPr>
              <w:t>Анализ экспрессии генов SPP1, CXCR4, VEGF, MMP1, RAD50 в культурах нормальных и малигнизированных клеток под влиянием феназинов</w:t>
            </w:r>
          </w:p>
        </w:tc>
      </w:tr>
      <w:tr>
        <w:tc>
          <w:tcPr>
            <w:tcW w:type="dxa" w:w="4810"/>
            <w:vAlign w:val="top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Ильюшенок Илья Николаевич, к.б.н.</w:t>
            </w:r>
          </w:p>
        </w:tc>
        <w:tc>
          <w:tcPr>
            <w:tcW w:type="dxa" w:w="4810"/>
            <w:vAlign w:val="top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Изучение механизмов регуляции сплайсинга экзона 15а гибридного онкогена RUNX1-RUNX1T1 человека</w:t>
            </w:r>
          </w:p>
        </w:tc>
      </w:tr>
      <w:tr>
        <w:tc>
          <w:tcPr>
            <w:tcW w:type="dxa" w:w="4810"/>
            <w:vAlign w:val="top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Куницкая Марина Петровна</w:t>
            </w:r>
          </w:p>
        </w:tc>
        <w:tc>
          <w:tcPr>
            <w:tcW w:type="dxa" w:w="4810"/>
            <w:vAlign w:val="top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before="0" w:after="20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Влияние пролина на устойчивость люпина узколистного к низкой и высокой температуре;</w:t>
            </w:r>
          </w:p>
          <w:p>
            <w:pPr>
              <w:spacing w:before="0" w:after="20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8"/>
              </w:rPr>
              <w:t>Эффективность применения пролина для повышения устойчивости люпина узколистного к засолению;</w:t>
            </w:r>
          </w:p>
          <w:p>
            <w:pPr>
              <w:spacing w:before="0" w:after="20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8"/>
              </w:rPr>
              <w:t>Эпидемиология болезней системы кровообращения в городе Горки;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8"/>
              </w:rPr>
              <w:t>Распространенность сахарного диабета в Чечерском районе.</w:t>
            </w:r>
          </w:p>
        </w:tc>
      </w:tr>
      <w:tr>
        <w:tc>
          <w:tcPr>
            <w:tcW w:type="dxa" w:w="4810"/>
            <w:vAlign w:val="top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Лагодич Алексей Викторович, к.б.н., доцент</w:t>
            </w:r>
          </w:p>
        </w:tc>
        <w:tc>
          <w:tcPr>
            <w:tcW w:type="dxa" w:w="4810"/>
            <w:vAlign w:val="top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before="0" w:after="20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Разработка стратегии оптимизации набора для STR-анализа представителей вида Bos taurus;</w:t>
            </w:r>
          </w:p>
          <w:p>
            <w:pPr>
              <w:spacing w:before="0" w:after="20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8"/>
              </w:rPr>
              <w:t>Распространенность доброкачественной гиперплазии предстательной железы среди пациентов УЗ «Дубровенская ЦРБ»;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8"/>
              </w:rPr>
              <w:t>Эпидемиология гипотиреоза щитовидной железы у жителей г. Могилева.</w:t>
            </w:r>
          </w:p>
        </w:tc>
      </w:tr>
      <w:tr>
        <w:tc>
          <w:tcPr>
            <w:tcW w:type="dxa" w:w="4810"/>
            <w:vAlign w:val="top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Лагодич Оксана Владимировна</w:t>
            </w:r>
          </w:p>
        </w:tc>
        <w:tc>
          <w:tcPr>
            <w:tcW w:type="dxa" w:w="4810"/>
            <w:vAlign w:val="top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before="0" w:after="20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Оценка биометрических показателей Solanum lycopersicum L. при индукции прорастания семян элиситорами;</w:t>
            </w:r>
          </w:p>
          <w:p>
            <w:pPr>
              <w:spacing w:before="0" w:after="20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8"/>
              </w:rPr>
              <w:t>Встречаемость ревматоидного артрита среди населения Брестской области;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8"/>
              </w:rPr>
              <w:t xml:space="preserve">Распространенность злокачественных новообразований ротоглотки и ОГШ среди пациентов онкодиспансерного отделения УЗ «Гродненская университетская клиника». </w:t>
            </w:r>
          </w:p>
        </w:tc>
      </w:tr>
      <w:tr>
        <w:tc>
          <w:tcPr>
            <w:tcW w:type="dxa" w:w="4810"/>
            <w:vAlign w:val="top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Левданская Анастасия Игоревна</w:t>
            </w:r>
          </w:p>
        </w:tc>
        <w:tc>
          <w:tcPr>
            <w:tcW w:type="dxa" w:w="4810"/>
            <w:vAlign w:val="top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before="0" w:after="20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Разработка программного кода для расчета распределения частот аллелей и генотипов в популяциях под влиянием эволюционных факторов</w:t>
            </w:r>
          </w:p>
          <w:p>
            <w:pPr>
              <w:spacing w:before="0" w:after="20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8"/>
              </w:rPr>
              <w:t>Разработка программного кода для расчета распределения частот аллелей и генотипов в неклассических популяциях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8"/>
              </w:rPr>
              <w:t>Оценка современных программных решений для анализа данных полноэкзомного секвенирования</w:t>
            </w:r>
          </w:p>
        </w:tc>
      </w:tr>
      <w:tr>
        <w:tc>
          <w:tcPr>
            <w:tcW w:type="dxa" w:w="4810"/>
            <w:vAlign w:val="top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Романовская Татьяна Владимировна, к.б.н., доцент</w:t>
            </w:r>
          </w:p>
        </w:tc>
        <w:tc>
          <w:tcPr>
            <w:tcW w:type="dxa" w:w="4810"/>
            <w:vAlign w:val="top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before="0" w:after="20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Анализ дифференциальной экспрессии генов в остром и хроническом миелоидном лейкозе с использованием транскрипционных данных;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8"/>
              </w:rPr>
              <w:t>Подготовка плазмидного вектора для транскрипции in vitro с целью создания платформы для временной модификации клеток человека.</w:t>
            </w:r>
          </w:p>
        </w:tc>
      </w:tr>
      <w:tr>
        <w:tc>
          <w:tcPr>
            <w:tcW w:type="dxa" w:w="4810"/>
            <w:vAlign w:val="top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Храмцова Елена Аркадьевна, к.б.н., доцент</w:t>
            </w:r>
          </w:p>
        </w:tc>
        <w:tc>
          <w:tcPr>
            <w:tcW w:type="dxa" w:w="4810"/>
            <w:vAlign w:val="top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before="0" w:after="20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Влияние бактериальной АЦК-дезаминазы на повышение устойчивости растений к загрязнению среды ароматическими углеводородами;</w:t>
            </w:r>
          </w:p>
          <w:p>
            <w:pPr>
              <w:spacing w:before="0" w:after="20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8"/>
              </w:rPr>
              <w:t>Встречаемость врожденных пороков сердца в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8"/>
              </w:rPr>
              <w:t>УЗ «Кобринская центральная районная больница» в период 2020-2024 года.</w:t>
            </w:r>
          </w:p>
        </w:tc>
      </w:tr>
      <w:tr>
        <w:tc>
          <w:tcPr>
            <w:tcW w:type="dxa" w:w="4810"/>
            <w:vAlign w:val="top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Маслак Диана Викторовна</w:t>
            </w:r>
          </w:p>
        </w:tc>
        <w:tc>
          <w:tcPr>
            <w:tcW w:type="dxa" w:w="4810"/>
            <w:vAlign w:val="top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before="0" w:after="20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Выделение бактерий-фосфатмобилизаторов, обладающих фитостимулирующими свойствами;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8"/>
              </w:rPr>
              <w:t>Выделение эндофитных бактерий из лекарственных растений и исследование их свойств.</w:t>
            </w:r>
          </w:p>
        </w:tc>
      </w:tr>
    </w:tbl>
    <w:sectPr w:rsidR="00FC693F" w:rsidRPr="0006063C" w:rsidSect="00034616">
      <w:pgSz w:w="11906" w:h="16838"/>
      <w:pgMar w:top="1134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