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240"/>
        <w:jc w:val="left"/>
        <w:rPr/>
      </w:pPr>
      <w:r>
        <w:rPr>
          <w:rFonts w:eastAsia="Times New Roman" w:cs="Times New Roman"/>
          <w:b w:val="false"/>
          <w:sz w:val="26"/>
        </w:rPr>
        <w:t>Тематика дипломных работ на 202</w:t>
      </w:r>
      <w:r>
        <w:rPr>
          <w:rFonts w:eastAsia="Times New Roman" w:cs="Times New Roman"/>
          <w:b w:val="false"/>
          <w:sz w:val="26"/>
        </w:rPr>
        <w:t>6</w:t>
      </w:r>
      <w:r>
        <w:rPr>
          <w:rFonts w:eastAsia="Times New Roman" w:cs="Times New Roman"/>
          <w:b w:val="false"/>
          <w:sz w:val="26"/>
        </w:rPr>
        <w:t>/202</w:t>
      </w:r>
      <w:r>
        <w:rPr>
          <w:rFonts w:eastAsia="Times New Roman" w:cs="Times New Roman"/>
          <w:b w:val="false"/>
          <w:sz w:val="26"/>
        </w:rPr>
        <w:t>7</w:t>
      </w:r>
      <w:r>
        <w:rPr>
          <w:rFonts w:eastAsia="Times New Roman" w:cs="Times New Roman"/>
          <w:b w:val="false"/>
          <w:sz w:val="26"/>
        </w:rPr>
        <w:t xml:space="preserve"> уч.г.</w:t>
      </w:r>
    </w:p>
    <w:tbl>
      <w:tblPr>
        <w:tblW w:w="1012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60"/>
        <w:gridCol w:w="5061"/>
      </w:tblGrid>
      <w:tr>
        <w:trPr/>
        <w:tc>
          <w:tcPr>
            <w:tcW w:w="5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ФИО научного руководителя, ученая степень, звание</w:t>
            </w:r>
          </w:p>
        </w:tc>
        <w:tc>
          <w:tcPr>
            <w:tcW w:w="5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Темы</w:t>
            </w:r>
          </w:p>
        </w:tc>
      </w:tr>
      <w:tr>
        <w:trPr/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Евтушенков А.Н., профессор, д.б.н.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Вирулентные свойства фитопатогенных пектобактерий</w:t>
            </w:r>
          </w:p>
        </w:tc>
      </w:tr>
      <w:tr>
        <w:trPr/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Русь О.Б., к.х.н., доцент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Создание генетической конструкции для получения в клетках дрожжей целевых белков в секретируемой форме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Использование различных видов ИФА для диагностики вирусных гепатитов В и С.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Выявление возбудителей стафилококковых инфекций</w:t>
            </w:r>
          </w:p>
        </w:tc>
      </w:tr>
      <w:tr>
        <w:trPr/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Ходосовская А.М., к.б.н., доцент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  <w:lang w:val="en-US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  <w:lang w:val="en-US"/>
              </w:rPr>
              <w:t>Оценка качества подготовки сосудистых аллографтов для тканевой трансплантации</w:t>
            </w:r>
          </w:p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  <w:lang w:val="en-US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  <w:lang w:val="en-US"/>
              </w:rPr>
              <w:t>Оценка уровня глюкозы и гликированного гемоглобина у пациентов с сахарным диабетом 2-го типа на фоне гипогликемической терапии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  <w:lang w:val="en-US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  <w:lang w:val="en-US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sz w:val="26"/>
                <w:szCs w:val="26"/>
                <w:u w:val="none"/>
                <w:effect w:val="none"/>
                <w:lang w:val="en-US" w:eastAsia="zh-CN" w:bidi="ar-SA"/>
              </w:rPr>
              <w:t xml:space="preserve">Поиск бактериальных штаммов, обладающих антагонистическим действием по отношению к </w:t>
            </w:r>
            <w:r>
              <w:rPr>
                <w:rFonts w:eastAsia="Times New Roman" w:cs="Times New Roman"/>
                <w:b w:val="false"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kern w:val="0"/>
                <w:sz w:val="26"/>
                <w:szCs w:val="26"/>
                <w:u w:val="none"/>
                <w:effect w:val="none"/>
                <w:lang w:val="en-US" w:eastAsia="zh-CN" w:bidi="ar-SA"/>
              </w:rPr>
              <w:t>Phytophthora infestans</w:t>
            </w:r>
          </w:p>
        </w:tc>
      </w:tr>
      <w:tr>
        <w:trPr/>
        <w:tc>
          <w:tcPr>
            <w:tcW w:w="5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Качан А.В., к.б.н., доцент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  <w:lang w:val="en-US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  <w:lang w:val="en-US"/>
              </w:rPr>
              <w:t xml:space="preserve">Исследование транскрипционной активности гена </w:t>
            </w:r>
            <w:r>
              <w:rPr>
                <w:rFonts w:eastAsia="Times New Roman" w:cs="Times New Roman"/>
                <w:b w:val="false"/>
                <w:i/>
                <w:iCs/>
                <w:sz w:val="26"/>
                <w:szCs w:val="26"/>
                <w:lang w:val="en-US"/>
              </w:rPr>
              <w:t>sigM Bacillus subtilis</w:t>
            </w:r>
            <w:r>
              <w:rPr>
                <w:rFonts w:eastAsia="Times New Roman" w:cs="Times New Roman"/>
                <w:b w:val="false"/>
                <w:sz w:val="26"/>
                <w:szCs w:val="26"/>
                <w:lang w:val="en-US"/>
              </w:rPr>
              <w:t xml:space="preserve"> 168 в условиях воздействия на клетки ингибиторов синтеза клеточной стенки</w:t>
            </w:r>
          </w:p>
        </w:tc>
      </w:tr>
      <w:tr>
        <w:trPr/>
        <w:tc>
          <w:tcPr>
            <w:tcW w:w="5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 xml:space="preserve">Щаюк А.Н., к.б.н., </w:t>
            </w:r>
            <w:r>
              <w:rPr>
                <w:rFonts w:eastAsia="Times New Roman" w:cs="Times New Roman"/>
                <w:b w:val="false"/>
                <w:sz w:val="26"/>
                <w:szCs w:val="26"/>
              </w:rPr>
              <w:t>доцент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Молекулярно-генетические механизмы развития рака лёгкого: роль системы EGF/EGFR, репарации ДНК и контроля клеточного цикла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Роль генетического полиморфизма фактора роста эндотелия сосудов и его рецептора(KDR) в развитии рака легкого</w:t>
            </w:r>
          </w:p>
        </w:tc>
      </w:tr>
      <w:tr>
        <w:trPr/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Бесараб Н.В.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 xml:space="preserve">Исследование регуляции численности бактериальных популяций с помощью бактериофагов </w:t>
            </w:r>
            <w:r>
              <w:rPr>
                <w:rFonts w:eastAsia="Times New Roman" w:cs="Times New Roman"/>
                <w:b w:val="false"/>
                <w:i/>
                <w:iCs/>
                <w:sz w:val="26"/>
                <w:szCs w:val="26"/>
              </w:rPr>
              <w:t>Erwinia amylovora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2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 xml:space="preserve">Исследование антифунгальной активности бактерий рода </w:t>
            </w:r>
            <w:r>
              <w:rPr>
                <w:rStyle w:val="Emphasis"/>
                <w:rFonts w:eastAsia="Times New Roman" w:cs="Times New Roman"/>
                <w:b w:val="false"/>
                <w:sz w:val="26"/>
                <w:szCs w:val="26"/>
              </w:rPr>
              <w:t>Pantoea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i w:val="false"/>
                <w:iCs w:val="false"/>
                <w:color w:val="auto"/>
                <w:kern w:val="0"/>
                <w:sz w:val="26"/>
                <w:szCs w:val="26"/>
                <w:lang w:val="ru-RU" w:eastAsia="zh-CN" w:bidi="ar-SA"/>
              </w:rPr>
              <w:t>Вычислительная идентификация лигандов транскрипционных регуляторов GalR и Сbl</w:t>
            </w:r>
            <w:r>
              <w:rPr>
                <w:rFonts w:eastAsia="Times New Roman" w:cs="Times New Roman"/>
                <w:b w:val="false"/>
                <w:i/>
                <w:iCs/>
                <w:color w:val="auto"/>
                <w:kern w:val="0"/>
                <w:sz w:val="26"/>
                <w:szCs w:val="26"/>
                <w:lang w:val="ru-RU" w:eastAsia="zh-CN" w:bidi="ar-SA"/>
              </w:rPr>
              <w:t xml:space="preserve"> Pectobacterium versatile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 xml:space="preserve">Идентификация прямых регуляторных мишеней транскрипционного регулятора Сbl </w:t>
            </w:r>
            <w:r>
              <w:rPr>
                <w:rFonts w:eastAsia="Times New Roman" w:cs="Times New Roman"/>
                <w:b w:val="false"/>
                <w:i/>
                <w:iCs/>
                <w:sz w:val="26"/>
                <w:szCs w:val="26"/>
              </w:rPr>
              <w:t>Pectobacterium versatile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color w:val="auto"/>
                <w:kern w:val="0"/>
                <w:sz w:val="26"/>
                <w:szCs w:val="26"/>
                <w:lang w:val="ru-RU" w:eastAsia="zh-CN" w:bidi="ar-SA"/>
              </w:rPr>
              <w:t xml:space="preserve">Конструирование и характеристика мутанта </w:t>
            </w:r>
            <w:r>
              <w:rPr>
                <w:rFonts w:eastAsia="Times New Roman" w:cs="Times New Roman"/>
                <w:b w:val="false"/>
                <w:sz w:val="26"/>
                <w:szCs w:val="26"/>
              </w:rPr>
              <w:t>Δ</w:t>
            </w:r>
            <w:r>
              <w:rPr>
                <w:rFonts w:eastAsia="Times New Roman" w:cs="Times New Roman"/>
                <w:b w:val="false"/>
                <w:i/>
                <w:iCs/>
                <w:sz w:val="26"/>
                <w:szCs w:val="26"/>
              </w:rPr>
              <w:t>galR Pectobacterium versatile</w:t>
            </w:r>
          </w:p>
          <w:p>
            <w:pPr>
              <w:pStyle w:val="Normal"/>
              <w:spacing w:lineRule="auto" w:line="240" w:before="0" w:after="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i w:val="false"/>
                <w:iCs w:val="false"/>
                <w:sz w:val="26"/>
                <w:szCs w:val="26"/>
              </w:rPr>
              <w:t>Оценка потенциала применения бактериофагов для защиты растений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i w:val="false"/>
                <w:iCs w:val="false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i w:val="false"/>
                <w:iCs w:val="false"/>
                <w:sz w:val="26"/>
                <w:szCs w:val="26"/>
              </w:rPr>
              <w:t xml:space="preserve">Исследование пригодности бактериофагов </w:t>
            </w:r>
            <w:r>
              <w:rPr>
                <w:rFonts w:eastAsia="Times New Roman" w:cs="Times New Roman"/>
                <w:b w:val="false"/>
                <w:i/>
                <w:iCs/>
                <w:sz w:val="26"/>
                <w:szCs w:val="26"/>
              </w:rPr>
              <w:t xml:space="preserve">Erwinia amylovora </w:t>
            </w:r>
            <w:r>
              <w:rPr>
                <w:rFonts w:eastAsia="Times New Roman" w:cs="Times New Roman"/>
                <w:b w:val="false"/>
                <w:i w:val="false"/>
                <w:iCs w:val="false"/>
                <w:sz w:val="26"/>
                <w:szCs w:val="26"/>
              </w:rPr>
              <w:t>для защиты растений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i w:val="false"/>
                <w:iCs w:val="false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i w:val="false"/>
                <w:iCs w:val="false"/>
                <w:sz w:val="26"/>
                <w:szCs w:val="26"/>
              </w:rPr>
              <w:t>Идентификация мхов рода сфагнум(</w:t>
            </w:r>
            <w:r>
              <w:rPr>
                <w:rFonts w:eastAsia="Times New Roman" w:cs="Times New Roman"/>
                <w:b w:val="false"/>
                <w:i/>
                <w:iCs/>
                <w:sz w:val="26"/>
                <w:szCs w:val="26"/>
              </w:rPr>
              <w:t>Sphagnum</w:t>
            </w:r>
            <w:r>
              <w:rPr>
                <w:rFonts w:eastAsia="Times New Roman" w:cs="Times New Roman"/>
                <w:b w:val="false"/>
                <w:i w:val="false"/>
                <w:iCs w:val="false"/>
                <w:sz w:val="26"/>
                <w:szCs w:val="26"/>
              </w:rPr>
              <w:t xml:space="preserve"> L.) по молекулярно-генетическим и морфологическим признакам</w:t>
            </w:r>
          </w:p>
        </w:tc>
      </w:tr>
      <w:tr>
        <w:trPr/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Дюбю Ю.В.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 xml:space="preserve">Транспорт и катаболизм пектата у </w:t>
            </w:r>
            <w:r>
              <w:rPr>
                <w:rFonts w:eastAsia="Times New Roman" w:cs="Times New Roman"/>
                <w:b w:val="false"/>
                <w:i/>
                <w:iCs/>
                <w:sz w:val="26"/>
                <w:szCs w:val="26"/>
              </w:rPr>
              <w:t>Pectobacterium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color w:val="auto"/>
                <w:kern w:val="0"/>
                <w:sz w:val="26"/>
                <w:szCs w:val="26"/>
                <w:lang w:val="ru-RU" w:eastAsia="zh-CN" w:bidi="ar-SA"/>
              </w:rPr>
              <w:t>Метилирование ДНК у бактерий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color w:val="auto"/>
                <w:kern w:val="0"/>
                <w:sz w:val="26"/>
                <w:szCs w:val="26"/>
                <w:lang w:val="ru-RU" w:eastAsia="zh-CN" w:bidi="ar-SA"/>
              </w:rPr>
              <w:t>Исследование противофаговой активности белка NadX плазмиды pPA21A</w:t>
            </w:r>
          </w:p>
        </w:tc>
      </w:tr>
      <w:tr>
        <w:trPr/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Колубако А.В.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Методологические подходы к исследованию низкокопийной и деградированной ДНК в практике судебно-генетической экспертизы.</w:t>
            </w:r>
          </w:p>
        </w:tc>
      </w:tr>
      <w:tr>
        <w:trPr/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Левданская А.И.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i w:val="false"/>
                <w:iCs w:val="false"/>
                <w:color w:val="auto"/>
                <w:kern w:val="0"/>
                <w:sz w:val="26"/>
                <w:szCs w:val="26"/>
                <w:lang w:val="ru-RU" w:eastAsia="zh-CN" w:bidi="ar-SA"/>
              </w:rPr>
              <w:t>Молекулярно-генетические причины развития кардиомиопатий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</w:r>
          </w:p>
        </w:tc>
      </w:tr>
      <w:tr>
        <w:trPr/>
        <w:tc>
          <w:tcPr>
            <w:tcW w:w="5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Лукашевич В.А.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zh-CN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6"/>
                <w:szCs w:val="26"/>
                <w:u w:val="none"/>
                <w:em w:val="none"/>
                <w:lang w:val="ru-RU" w:eastAsia="zh-CN" w:bidi="ar-SA"/>
              </w:rPr>
              <w:t xml:space="preserve">Основы патогенности возбудителя мягкой гнили картофеля </w:t>
            </w:r>
            <w:r>
              <w:rPr>
                <w:rStyle w:val="Emphasis"/>
                <w:rFonts w:eastAsia="Times New Roman" w:cs="Times New Roman"/>
                <w:b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6"/>
                <w:szCs w:val="26"/>
                <w:u w:val="none"/>
                <w:em w:val="none"/>
                <w:lang w:val="ru-RU" w:eastAsia="zh-CN" w:bidi="ar-SA"/>
              </w:rPr>
              <w:t>Pectobacterium sp</w:t>
            </w:r>
          </w:p>
        </w:tc>
      </w:tr>
      <w:tr>
        <w:trPr/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Песоцкая К.Ю.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color w:val="auto"/>
                <w:kern w:val="0"/>
                <w:sz w:val="26"/>
                <w:szCs w:val="26"/>
                <w:lang w:val="ru-RU" w:eastAsia="zh-CN" w:bidi="ar-SA"/>
              </w:rPr>
              <w:t>Изучение роли транскрипционного регулятора</w:t>
            </w:r>
            <w:r>
              <w:rPr>
                <w:rFonts w:eastAsia="Times New Roman" w:cs="Times New Roman"/>
                <w:b w:val="false"/>
                <w:caps w:val="false"/>
                <w:smallCaps w:val="false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b w:val="false"/>
                <w:caps/>
                <w:sz w:val="26"/>
                <w:szCs w:val="26"/>
              </w:rPr>
              <w:t>M</w:t>
            </w:r>
            <w:r>
              <w:rPr>
                <w:rFonts w:eastAsia="Times New Roman" w:cs="Times New Roman"/>
                <w:b w:val="false"/>
                <w:caps w:val="false"/>
                <w:smallCaps w:val="false"/>
                <w:color w:val="auto"/>
                <w:kern w:val="0"/>
                <w:sz w:val="26"/>
                <w:szCs w:val="26"/>
                <w:lang w:val="ru-RU" w:eastAsia="zh-CN" w:bidi="ar-SA"/>
              </w:rPr>
              <w:t>ar</w:t>
            </w:r>
            <w:r>
              <w:rPr>
                <w:rFonts w:eastAsia="Times New Roman" w:cs="Times New Roman"/>
                <w:b w:val="false"/>
                <w:caps w:val="false"/>
                <w:smallCaps w:val="false"/>
                <w:sz w:val="26"/>
                <w:szCs w:val="26"/>
              </w:rPr>
              <w:t xml:space="preserve">R </w:t>
            </w:r>
            <w:r>
              <w:rPr>
                <w:rFonts w:eastAsia="Times New Roman" w:cs="Times New Roman"/>
                <w:b w:val="false"/>
                <w:caps w:val="false"/>
                <w:smallCaps w:val="false"/>
                <w:color w:val="auto"/>
                <w:kern w:val="0"/>
                <w:sz w:val="26"/>
                <w:szCs w:val="26"/>
                <w:lang w:val="ru-RU" w:eastAsia="zh-CN" w:bidi="ar-SA"/>
              </w:rPr>
              <w:t>в</w:t>
            </w:r>
            <w:r>
              <w:rPr>
                <w:rFonts w:eastAsia="Times New Roman" w:cs="Times New Roman"/>
                <w:b w:val="false"/>
                <w:caps w:val="false"/>
                <w:smallCaps w:val="false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b w:val="false"/>
                <w:caps w:val="false"/>
                <w:smallCaps w:val="false"/>
                <w:color w:val="auto"/>
                <w:kern w:val="0"/>
                <w:sz w:val="26"/>
                <w:szCs w:val="26"/>
                <w:lang w:val="ru-RU" w:eastAsia="zh-CN" w:bidi="ar-SA"/>
              </w:rPr>
              <w:t xml:space="preserve">вирулентности фитопатогенных бактерий </w:t>
            </w:r>
            <w:r>
              <w:rPr>
                <w:rFonts w:eastAsia="Times New Roman" w:cs="Times New Roman"/>
                <w:b w:val="false"/>
                <w:i/>
                <w:iCs/>
                <w:caps w:val="false"/>
                <w:smallCaps w:val="false"/>
                <w:color w:val="auto"/>
                <w:kern w:val="0"/>
                <w:sz w:val="26"/>
                <w:szCs w:val="26"/>
                <w:lang w:val="ru-RU" w:eastAsia="zh-CN" w:bidi="ar-SA"/>
              </w:rPr>
              <w:t>Erwinia amylovora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color w:val="auto"/>
                <w:kern w:val="0"/>
                <w:sz w:val="26"/>
                <w:szCs w:val="26"/>
                <w:lang w:val="ru-RU" w:eastAsia="zh-CN" w:bidi="ar-SA"/>
              </w:rPr>
              <w:t>Получение и характеристика штамма</w:t>
            </w:r>
            <w:r>
              <w:rPr>
                <w:rFonts w:eastAsia="Times New Roman" w:cs="Times New Roman"/>
                <w:b w:val="false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b w:val="false"/>
                <w:i/>
                <w:iCs/>
                <w:sz w:val="26"/>
                <w:szCs w:val="26"/>
              </w:rPr>
              <w:t>E</w:t>
            </w:r>
            <w:r>
              <w:rPr>
                <w:rFonts w:eastAsia="Times New Roman" w:cs="Times New Roman"/>
                <w:b w:val="false"/>
                <w:i/>
                <w:iCs/>
                <w:color w:val="auto"/>
                <w:kern w:val="0"/>
                <w:sz w:val="26"/>
                <w:szCs w:val="26"/>
                <w:lang w:val="ru-RU" w:eastAsia="zh-CN" w:bidi="ar-SA"/>
              </w:rPr>
              <w:t>rwinia</w:t>
            </w:r>
            <w:r>
              <w:rPr>
                <w:rFonts w:eastAsia="Times New Roman" w:cs="Times New Roman"/>
                <w:b w:val="false"/>
                <w:i/>
                <w:iCs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b w:val="false"/>
                <w:i/>
                <w:iCs/>
                <w:color w:val="auto"/>
                <w:kern w:val="0"/>
                <w:sz w:val="26"/>
                <w:szCs w:val="26"/>
                <w:lang w:val="ru-RU" w:eastAsia="zh-CN" w:bidi="ar-SA"/>
              </w:rPr>
              <w:t>amylovora</w:t>
            </w:r>
            <w:r>
              <w:rPr>
                <w:rFonts w:eastAsia="Times New Roman" w:cs="Times New Roman"/>
                <w:b w:val="false"/>
                <w:sz w:val="26"/>
                <w:szCs w:val="26"/>
              </w:rPr>
              <w:t xml:space="preserve"> E2 ∆WAACDFL-WABKM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i w:val="false"/>
                <w:iCs w:val="false"/>
                <w:sz w:val="26"/>
                <w:szCs w:val="26"/>
                <w:lang w:val="en-US"/>
              </w:rPr>
              <w:t>Характеристика штамма</w:t>
            </w:r>
            <w:r>
              <w:rPr>
                <w:rFonts w:eastAsia="Times New Roman" w:cs="Times New Roman"/>
                <w:b w:val="false"/>
                <w:i/>
                <w:sz w:val="26"/>
                <w:szCs w:val="26"/>
                <w:lang w:val="en-US"/>
              </w:rPr>
              <w:t xml:space="preserve"> E.amylovora</w:t>
            </w:r>
            <w:r>
              <w:rPr>
                <w:rFonts w:eastAsia="Times New Roman" w:cs="Times New Roman"/>
                <w:b w:val="false"/>
                <w:i w:val="false"/>
                <w:iCs w:val="false"/>
                <w:sz w:val="26"/>
                <w:szCs w:val="26"/>
                <w:lang w:val="en-US"/>
              </w:rPr>
              <w:t>, мутантного по оперону биосинтеза амиловорана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color w:val="auto"/>
                <w:kern w:val="0"/>
                <w:sz w:val="26"/>
                <w:szCs w:val="26"/>
                <w:lang w:val="ru-RU" w:eastAsia="zh-CN" w:bidi="ar-SA"/>
              </w:rPr>
              <w:t xml:space="preserve">Влияние растительных фенольных соединение на факторы вирулентности фитопатогенных бактерий </w:t>
            </w:r>
            <w:r>
              <w:rPr>
                <w:rFonts w:eastAsia="Times New Roman" w:cs="Times New Roman"/>
                <w:b w:val="false"/>
                <w:i/>
                <w:iCs/>
                <w:color w:val="auto"/>
                <w:kern w:val="0"/>
                <w:sz w:val="26"/>
                <w:szCs w:val="26"/>
                <w:lang w:val="ru-RU" w:eastAsia="zh-CN" w:bidi="ar-SA"/>
              </w:rPr>
              <w:t>Erwinia amylovora</w:t>
            </w:r>
          </w:p>
        </w:tc>
      </w:tr>
      <w:tr>
        <w:trPr/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Шруб Е.В.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caps w:val="false"/>
                <w:smallCaps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caps w:val="false"/>
                <w:smallCaps w:val="false"/>
                <w:color w:val="auto"/>
                <w:kern w:val="0"/>
                <w:sz w:val="26"/>
                <w:szCs w:val="26"/>
                <w:lang w:val="ru-RU" w:eastAsia="zh-CN" w:bidi="ar-SA"/>
              </w:rPr>
              <w:t xml:space="preserve">Поиск рецепторассоциированных фосфатаз, задействованных в сигнальных цепях иммунного ответа растений картофеля при внедрении </w:t>
            </w:r>
            <w:r>
              <w:rPr>
                <w:rFonts w:eastAsia="Times New Roman" w:cs="Times New Roman"/>
                <w:b w:val="false"/>
                <w:i/>
                <w:iCs/>
                <w:caps w:val="false"/>
                <w:smallCaps w:val="false"/>
                <w:color w:val="auto"/>
                <w:kern w:val="0"/>
                <w:sz w:val="26"/>
                <w:szCs w:val="26"/>
                <w:lang w:val="ru-RU" w:eastAsia="zh-CN" w:bidi="ar-SA"/>
              </w:rPr>
              <w:t>P. versatile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i w:val="false"/>
                <w:iCs w:val="false"/>
                <w:sz w:val="26"/>
                <w:szCs w:val="26"/>
              </w:rPr>
              <w:t>Идентификация прямых регуляторных мишеней транскрипционного регулятора GalR</w:t>
            </w:r>
            <w:r>
              <w:rPr>
                <w:rFonts w:eastAsia="Times New Roman" w:cs="Times New Roman"/>
                <w:b w:val="false"/>
                <w:i/>
                <w:iCs/>
                <w:sz w:val="26"/>
                <w:szCs w:val="26"/>
              </w:rPr>
              <w:t xml:space="preserve"> Pectobacterium versatile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Характеристика реакции растений мутантной линии редактированного Nic</w:t>
            </w:r>
            <w:r>
              <w:rPr>
                <w:rFonts w:eastAsia="Times New Roman" w:cs="Times New Roman"/>
                <w:b w:val="false"/>
                <w:i/>
                <w:iCs/>
                <w:sz w:val="26"/>
                <w:szCs w:val="26"/>
              </w:rPr>
              <w:t>otiana tabacum</w:t>
            </w:r>
            <w:r>
              <w:rPr>
                <w:rFonts w:eastAsia="Times New Roman" w:cs="Times New Roman"/>
                <w:b w:val="false"/>
                <w:sz w:val="26"/>
                <w:szCs w:val="26"/>
              </w:rPr>
              <w:t xml:space="preserve"> на внедрение </w:t>
            </w:r>
            <w:r>
              <w:rPr>
                <w:rFonts w:eastAsia="Times New Roman" w:cs="Times New Roman"/>
                <w:b w:val="false"/>
                <w:i/>
                <w:iCs/>
                <w:sz w:val="26"/>
                <w:szCs w:val="26"/>
              </w:rPr>
              <w:t>Pectobacterium versatile</w:t>
            </w:r>
          </w:p>
        </w:tc>
      </w:tr>
      <w:tr>
        <w:trPr/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Гончаров А.Е., к.м.н., доцент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Поверхностные и внутриклеточные маркеры активации Т-лимфоцитов в контексте молекулярных механизмов иммунопатогенеза аллергических реакций замедленного типа</w:t>
            </w:r>
          </w:p>
        </w:tc>
      </w:tr>
      <w:tr>
        <w:trPr/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Волнистый А.А., к.б.н.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i w:val="false"/>
                <w:iCs w:val="false"/>
                <w:color w:val="auto"/>
                <w:kern w:val="0"/>
                <w:sz w:val="26"/>
                <w:szCs w:val="26"/>
                <w:lang w:val="ru-RU" w:eastAsia="zh-CN" w:bidi="ar-SA"/>
              </w:rPr>
              <w:t xml:space="preserve">Формирование и оптимизация панели STR-маркеров для неинвазивного генотипирования аиста </w:t>
            </w:r>
            <w:r>
              <w:rPr>
                <w:rFonts w:eastAsia="Times New Roman" w:cs="Times New Roman"/>
                <w:b w:val="false"/>
                <w:i/>
                <w:iCs/>
                <w:color w:val="auto"/>
                <w:kern w:val="0"/>
                <w:sz w:val="26"/>
                <w:szCs w:val="26"/>
                <w:lang w:val="ru-RU" w:eastAsia="zh-CN" w:bidi="ar-SA"/>
              </w:rPr>
              <w:t>Ciconia nigra</w:t>
            </w:r>
          </w:p>
        </w:tc>
      </w:tr>
      <w:tr>
        <w:trPr/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Гайдученко Е.С., к.б.н., доцент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i w:val="false"/>
                <w:iCs w:val="false"/>
                <w:sz w:val="26"/>
                <w:szCs w:val="26"/>
              </w:rPr>
              <w:t>Филогеография и генетический полиморфизм уклеи водных объектов бассейна Балтийского моря в пределах Беларуси</w:t>
            </w:r>
          </w:p>
        </w:tc>
      </w:tr>
      <w:tr>
        <w:trPr/>
        <w:tc>
          <w:tcPr>
            <w:tcW w:w="5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Субоч Е.И., к.б.н., доцент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i w:val="false"/>
                <w:iCs w:val="false"/>
                <w:color w:val="auto"/>
                <w:kern w:val="0"/>
                <w:sz w:val="26"/>
                <w:szCs w:val="26"/>
                <w:lang w:val="ru-RU" w:eastAsia="zh-CN" w:bidi="ar-SA"/>
              </w:rPr>
              <w:t>Генетические детерминанты, вовлеченные в патогенез наследственных полипозов ЖКТ</w:t>
            </w:r>
          </w:p>
        </w:tc>
      </w:tr>
      <w:tr>
        <w:trPr/>
        <w:tc>
          <w:tcPr>
            <w:tcW w:w="50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i w:val="false"/>
                <w:iCs w:val="false"/>
                <w:color w:val="auto"/>
                <w:kern w:val="0"/>
                <w:sz w:val="26"/>
                <w:szCs w:val="26"/>
                <w:lang w:val="ru-RU" w:eastAsia="zh-CN" w:bidi="ar-SA"/>
              </w:rPr>
              <w:t>Разработка метода персонализированного замещения дефектов грудной стенки</w:t>
            </w:r>
          </w:p>
        </w:tc>
      </w:tr>
      <w:tr>
        <w:trPr/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Грибанова Е.А.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i w:val="false"/>
                <w:iCs w:val="false"/>
                <w:sz w:val="26"/>
                <w:szCs w:val="26"/>
              </w:rPr>
              <w:t>Исследование каратиногенеза антарктических дрожжей</w:t>
            </w:r>
            <w:r>
              <w:rPr>
                <w:rFonts w:eastAsia="Times New Roman" w:cs="Times New Roman"/>
                <w:b w:val="false"/>
                <w:i/>
                <w:iCs/>
                <w:sz w:val="26"/>
                <w:szCs w:val="26"/>
              </w:rPr>
              <w:t xml:space="preserve"> </w:t>
            </w:r>
          </w:p>
        </w:tc>
      </w:tr>
      <w:tr>
        <w:trPr/>
        <w:tc>
          <w:tcPr>
            <w:tcW w:w="5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Котова С.А., к.х.н.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sz w:val="26"/>
                <w:szCs w:val="26"/>
              </w:rPr>
              <w:t>Разработка популяционной базы данных для клинической интерпретации вариантов мтДНК</w:t>
            </w:r>
          </w:p>
        </w:tc>
      </w:tr>
      <w:tr>
        <w:trPr/>
        <w:tc>
          <w:tcPr>
            <w:tcW w:w="5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color w:val="auto"/>
                <w:kern w:val="0"/>
                <w:sz w:val="26"/>
                <w:szCs w:val="26"/>
                <w:lang w:val="ru-RU" w:eastAsia="zh-CN" w:bidi="ar-SA"/>
              </w:rPr>
              <w:t>Иванов О.А., к.б.н.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sz w:val="26"/>
                <w:szCs w:val="26"/>
              </w:rPr>
            </w:pPr>
            <w:r>
              <w:rPr>
                <w:i w:val="false"/>
                <w:iCs w:val="false"/>
                <w:sz w:val="26"/>
                <w:szCs w:val="26"/>
              </w:rPr>
              <w:t xml:space="preserve">Экспрессия генов семейства CNGC при прорастании и гидропраймировании семян </w:t>
            </w:r>
            <w:r>
              <w:rPr>
                <w:rFonts w:eastAsia="Times New Roman" w:cs="Times New Roman"/>
                <w:b w:val="false"/>
                <w:i/>
                <w:iCs/>
                <w:sz w:val="26"/>
                <w:szCs w:val="26"/>
              </w:rPr>
              <w:t xml:space="preserve">Pisum sativa </w:t>
            </w:r>
            <w:r>
              <w:rPr>
                <w:rFonts w:eastAsia="Times New Roman" w:cs="Times New Roman"/>
                <w:b w:val="false"/>
                <w:i w:val="false"/>
                <w:iCs w:val="false"/>
                <w:sz w:val="26"/>
                <w:szCs w:val="26"/>
              </w:rPr>
              <w:t>L.</w:t>
            </w:r>
          </w:p>
        </w:tc>
      </w:tr>
      <w:tr>
        <w:trPr/>
        <w:tc>
          <w:tcPr>
            <w:tcW w:w="5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6"/>
                <w:szCs w:val="26"/>
                <w:u w:val="none"/>
                <w:em w:val="none"/>
                <w:lang w:val="ru-RU" w:eastAsia="zh-CN" w:bidi="ar-SA"/>
              </w:rPr>
              <w:t>Гапеенко Е.В.,  к.б.н., доцент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color w:val="auto"/>
                <w:kern w:val="0"/>
                <w:sz w:val="26"/>
                <w:szCs w:val="26"/>
                <w:lang w:val="ru-RU" w:eastAsia="zh-CN" w:bidi="ar-SA"/>
              </w:rPr>
              <w:t>Возможности комплексного определения герпесвирусной инфекции при новообразованиях головного мозга</w:t>
            </w:r>
          </w:p>
        </w:tc>
      </w:tr>
    </w:tbl>
    <w:sectPr>
      <w:type w:val="nextPage"/>
      <w:pgSz w:w="11906" w:h="16838"/>
      <w:pgMar w:left="907" w:right="907" w:header="0" w:top="1134" w:footer="0" w:bottom="85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5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Times New Roman" w:hAnsi="Times New Roman" w:eastAsia="Times New Roman" w:cs="" w:cstheme="minorBidi"/>
      <w:color w:val="auto"/>
      <w:kern w:val="0"/>
      <w:sz w:val="26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6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1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/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LibreOffice/6.4.7.2$Linux_X86_64 LibreOffice_project/40$Build-2</Application>
  <Pages>3</Pages>
  <Words>457</Words>
  <Characters>3679</Characters>
  <CharactersWithSpaces>4075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2026-10-23T15:13:40Z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