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rFonts w:ascii="Times New Roman" w:hAnsi="Times New Roman" w:eastAsia="Times New Roman"/>
          <w:b w:val="0"/>
          <w:sz w:val="28"/>
        </w:rPr>
        <w:t>Тематика курсовых работ на 2025/2026 уч.г.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3"/>
        <w:gridCol w:w="5103"/>
      </w:tblGrid>
      <w:tr>
        <w:trPr>
          <w:cantSplit/>
        </w:trPr>
        <w:tc>
          <w:tcPr>
            <w:tcW w:type="dxa" w:w="4195"/>
            <w:vAlign w:val="center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  <w:tcMar>
              <w:top w:w="90" w:type="dxa"/>
              <w:bottom w:w="90" w:type="dxa"/>
              <w:left w:w="90" w:type="dxa"/>
              <w:right w:w="9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ФИО научного руководителя, ученая</w:t>
              <w:br/>
              <w:t>степень, звание</w:t>
            </w:r>
          </w:p>
        </w:tc>
        <w:tc>
          <w:tcPr>
            <w:tcW w:type="dxa" w:w="6009"/>
            <w:vAlign w:val="center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  <w:tcMar>
              <w:top w:w="90" w:type="dxa"/>
              <w:bottom w:w="90" w:type="dxa"/>
              <w:left w:w="90" w:type="dxa"/>
              <w:right w:w="9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Темы</w:t>
            </w:r>
          </w:p>
        </w:tc>
      </w:tr>
      <w:tr>
        <w:trPr>
          <w:cantSplit/>
        </w:trPr>
        <w:tc>
          <w:tcPr>
            <w:tcW w:type="dxa" w:w="4195"/>
            <w:vAlign w:val="top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  <w:tcMar>
              <w:top w:w="90" w:type="dxa"/>
              <w:bottom w:w="90" w:type="dxa"/>
              <w:left w:w="90" w:type="dxa"/>
              <w:right w:w="9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Сидорова Светлана Георгиевна,</w:t>
              <w:br/>
              <w:t>канд. биол. наук, доцент</w:t>
            </w:r>
          </w:p>
        </w:tc>
        <w:tc>
          <w:tcPr>
            <w:tcW w:type="dxa" w:w="6009"/>
            <w:vAlign w:val="top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  <w:tcMar>
              <w:top w:w="90" w:type="dxa"/>
              <w:bottom w:w="90" w:type="dxa"/>
              <w:left w:w="90" w:type="dxa"/>
              <w:right w:w="90" w:type="dxa"/>
            </w:tcMar>
          </w:tcPr>
          <w:p>
            <w:pPr>
              <w:spacing w:before="0" w:after="160"/>
              <w:jc w:val="left"/>
            </w:pPr>
            <w:r/>
            <w:r>
              <w:rPr>
                <w:rFonts w:ascii="Times New Roman" w:hAnsi="Times New Roman" w:eastAsia="Times New Roman"/>
                <w:sz w:val="24"/>
              </w:rPr>
              <w:t>Антифунгальная активность грибов рода Trichoderma Pers.: Fr. в отношении возбудителя серой гнили томата.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Актиномицеты р. Streptomyces как возможные антагонисты возбудителя фузариоза томата.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Влияние вторичных метаболитов микромицетов на патогенную микробиоту.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Антифунгальная активность актиномицетов рода Streptomyces в отношении возбудителя серой гнили томата.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Антифунгальная активность грибов р. Trichoderma Pers.: Fr. в отношении возбудителя склеротиниоза моркови.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Грибы рода Trichoderma Pers.: Fr. как возможные антагонисты фитопатогенных микромицетов, поражающих зерновые культуры.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Взаимоотношения между возбудителями фузариозных корневых гнилей зерновых культур и микробиотой.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Влияние длительности сохранения изолятов фузариума на проявление их морфо-культуральных признаков.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Грибы рода Fusarium Link. – возбудители микозов зерновых культур в Республике Беларусь.</w:t>
            </w:r>
          </w:p>
          <w:p>
            <w:pPr>
              <w:spacing w:before="0" w:after="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Антифунгальная активность почвенной микробиоты в отношении возбудителей фузариозов хлебных злаков I группы.</w:t>
            </w:r>
          </w:p>
        </w:tc>
      </w:tr>
      <w:tr>
        <w:trPr>
          <w:cantSplit/>
        </w:trPr>
        <w:tc>
          <w:tcPr>
            <w:tcW w:type="dxa" w:w="4195"/>
            <w:vAlign w:val="top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  <w:tcMar>
              <w:top w:w="90" w:type="dxa"/>
              <w:bottom w:w="90" w:type="dxa"/>
              <w:left w:w="90" w:type="dxa"/>
              <w:right w:w="9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Храмцов Александр</w:t>
              <w:br/>
              <w:t>Константинович, канд. биол.</w:t>
              <w:br/>
              <w:t>наук, доцент</w:t>
            </w:r>
          </w:p>
        </w:tc>
        <w:tc>
          <w:tcPr>
            <w:tcW w:type="dxa" w:w="6009"/>
            <w:vAlign w:val="top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  <w:tcMar>
              <w:top w:w="90" w:type="dxa"/>
              <w:bottom w:w="90" w:type="dxa"/>
              <w:left w:w="90" w:type="dxa"/>
              <w:right w:w="90" w:type="dxa"/>
            </w:tcMar>
          </w:tcPr>
          <w:p>
            <w:pPr>
              <w:spacing w:before="0" w:after="160"/>
              <w:jc w:val="left"/>
            </w:pPr>
            <w:r/>
            <w:r>
              <w:rPr>
                <w:rFonts w:ascii="Times New Roman" w:hAnsi="Times New Roman" w:eastAsia="Times New Roman"/>
                <w:sz w:val="24"/>
              </w:rPr>
              <w:t>Чужеродные фитопатогенные микромицеты в естественных и антропогенно трансформированных фитоценозах Беларуси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Фитопатогенные микромицеты г. Минска.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Фитопатогенные микроскопические грибы и грибоподобные организмы урбанизированных территорий Беларуси.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Топические и трофические связи фитопатогенных микромицетов Беларуси (на примере конкретных регионов Беларуси).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Разнообразие фитопатогенных микромицетов Беларуси (на примере лесничества, части лесхоза, района, города, охраняемой территории).</w:t>
            </w:r>
          </w:p>
          <w:p>
            <w:pPr>
              <w:spacing w:before="0" w:after="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Разнообразие водорослей Беларуси (на примере конкретных водоемов).</w:t>
            </w:r>
          </w:p>
        </w:tc>
      </w:tr>
      <w:tr>
        <w:trPr>
          <w:cantSplit/>
        </w:trPr>
        <w:tc>
          <w:tcPr>
            <w:tcW w:type="dxa" w:w="4195"/>
            <w:vAlign w:val="top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  <w:tcMar>
              <w:top w:w="90" w:type="dxa"/>
              <w:bottom w:w="90" w:type="dxa"/>
              <w:left w:w="90" w:type="dxa"/>
              <w:right w:w="9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Поликсенова В.Д., к.с.-х.н.,</w:t>
              <w:br/>
              <w:t>доцент</w:t>
            </w:r>
          </w:p>
        </w:tc>
        <w:tc>
          <w:tcPr>
            <w:tcW w:type="dxa" w:w="6009"/>
            <w:vAlign w:val="top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  <w:tcMar>
              <w:top w:w="90" w:type="dxa"/>
              <w:bottom w:w="90" w:type="dxa"/>
              <w:left w:w="90" w:type="dxa"/>
              <w:right w:w="90" w:type="dxa"/>
            </w:tcMar>
          </w:tcPr>
          <w:p>
            <w:pPr>
              <w:spacing w:before="0" w:after="160"/>
              <w:jc w:val="left"/>
            </w:pPr>
            <w:r/>
            <w:r>
              <w:rPr>
                <w:rFonts w:ascii="Times New Roman" w:hAnsi="Times New Roman" w:eastAsia="Times New Roman"/>
                <w:sz w:val="24"/>
              </w:rPr>
              <w:t>Видовое (популяционное) разнообразие фитопатогенных микромицетов на культурных и дикорастущих растениях (в условиях определенного растительного сообщества или административного района, города).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Чужеродный и инвазивный компонент микобиоты в различных регионах Беларуси.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Современный состав микобиоты в коллекциях культивируемых растений (ботанические сады, селекционные центры, экологические центры и т.д.).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Особенности биологии экономически (или потенциально) опасных видов фитопатогенных микромицетов и поиск средств их подавления.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Болезни культурных растений (возбудители болезней, устойчивость сортов).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Индукция неспецифической устойчивости растений к болезням.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Оценка эффективности к определенным возбудителям болезней растений экологически безопасных средств защиты на основе биоцидных и иммуномодулирующих препаратов.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Особенности биологии, культивирования и размножения перспективных лекарственных растений.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Фитохимическая характеристика избранных лекарственных растений.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Анализ потенциала флоры Беларуси для создания фитопрепаратов, применяемых при определенной группе заболеваний.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Возбудитель антракноза земляники – нового для Беларуси заболевания.</w:t>
            </w:r>
          </w:p>
          <w:p>
            <w:pPr>
              <w:spacing w:before="0" w:after="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Фармакогностический анализ павловнии войлочной Paulownia tomentosa.</w:t>
            </w:r>
          </w:p>
        </w:tc>
      </w:tr>
      <w:tr>
        <w:trPr>
          <w:cantSplit/>
        </w:trPr>
        <w:tc>
          <w:tcPr>
            <w:tcW w:type="dxa" w:w="4195"/>
            <w:vAlign w:val="top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  <w:tcMar>
              <w:top w:w="90" w:type="dxa"/>
              <w:bottom w:w="90" w:type="dxa"/>
              <w:left w:w="90" w:type="dxa"/>
              <w:right w:w="9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Кавцевич Валентина</w:t>
              <w:br/>
              <w:t>Николаевна, канд. биол. наук,</w:t>
              <w:br/>
              <w:t>доцент</w:t>
            </w:r>
          </w:p>
        </w:tc>
        <w:tc>
          <w:tcPr>
            <w:tcW w:type="dxa" w:w="6009"/>
            <w:vAlign w:val="top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  <w:tcMar>
              <w:top w:w="90" w:type="dxa"/>
              <w:bottom w:w="90" w:type="dxa"/>
              <w:left w:w="90" w:type="dxa"/>
              <w:right w:w="90" w:type="dxa"/>
            </w:tcMar>
          </w:tcPr>
          <w:p>
            <w:pPr>
              <w:spacing w:before="0" w:after="160"/>
              <w:jc w:val="left"/>
            </w:pPr>
            <w:r/>
            <w:r>
              <w:rPr>
                <w:rFonts w:ascii="Times New Roman" w:hAnsi="Times New Roman" w:eastAsia="Times New Roman"/>
                <w:sz w:val="24"/>
              </w:rPr>
              <w:t>Современное состояние биоразнообразия урбанофлоры (деревни, агрогородка, района города, парка и др.).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Натурализация чужеродных видов в новые экосистемы (деревни, агрогородка, района города, парка и др.).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Анатомо-морфологическая характеристика чужеродных видов растений (деревни, агрогородка, района города, парка и др.).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Ландшафтная структура дендрофлоры (городского парка, лесопарка, паркового ансамбля, ботанического парка и т.д.).</w:t>
            </w:r>
          </w:p>
          <w:p>
            <w:pPr>
              <w:spacing w:before="0" w:after="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Современные декоративные виды растений и новые тенденции в озеленении (населенного пункта).</w:t>
            </w:r>
          </w:p>
        </w:tc>
      </w:tr>
      <w:tr>
        <w:trPr>
          <w:cantSplit/>
        </w:trPr>
        <w:tc>
          <w:tcPr>
            <w:tcW w:type="dxa" w:w="4195"/>
            <w:vAlign w:val="top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  <w:tcMar>
              <w:top w:w="90" w:type="dxa"/>
              <w:bottom w:w="90" w:type="dxa"/>
              <w:left w:w="90" w:type="dxa"/>
              <w:right w:w="9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Сысой Ирина Петровна, канд.</w:t>
              <w:br/>
              <w:t>биол. наук, доцент</w:t>
            </w:r>
          </w:p>
        </w:tc>
        <w:tc>
          <w:tcPr>
            <w:tcW w:type="dxa" w:w="6009"/>
            <w:vAlign w:val="top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  <w:tcMar>
              <w:top w:w="90" w:type="dxa"/>
              <w:bottom w:w="90" w:type="dxa"/>
              <w:left w:w="90" w:type="dxa"/>
              <w:right w:w="90" w:type="dxa"/>
            </w:tcMar>
          </w:tcPr>
          <w:p>
            <w:pPr>
              <w:spacing w:before="0" w:after="160"/>
              <w:jc w:val="left"/>
            </w:pPr>
            <w:r/>
            <w:r>
              <w:rPr>
                <w:rFonts w:ascii="Times New Roman" w:hAnsi="Times New Roman" w:eastAsia="Times New Roman"/>
                <w:sz w:val="24"/>
              </w:rPr>
              <w:t>Эколого-биологические и продукционные особенности видов рода Зверобой (Hypericum L.).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Сравнительный анализ популяций чины льнолистной (Lathyrus linifolius (Reichard) Bässler) в черте города Минска.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Изучение динамики и состояния популяции волдырника ягодного (Cucubalus baccifer L.) в городе Минске.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Особенности онтогенетической структуры природных ценопопуляций шпажника черепитчатого (Gladiolus imbricatus L.).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Видовой состав сосудистых растений города (района).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Дикорастущие растения как источник сырья, снижающего сахар в организме.</w:t>
            </w:r>
          </w:p>
          <w:p>
            <w:pPr>
              <w:spacing w:before="0" w:after="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Инвазивные виды растений рода Недотрога (Impatiens L.) на территории заказника «Роща».</w:t>
            </w:r>
          </w:p>
        </w:tc>
      </w:tr>
      <w:tr>
        <w:trPr>
          <w:cantSplit/>
        </w:trPr>
        <w:tc>
          <w:tcPr>
            <w:tcW w:type="dxa" w:w="4195"/>
            <w:vAlign w:val="top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  <w:tcMar>
              <w:top w:w="90" w:type="dxa"/>
              <w:bottom w:w="90" w:type="dxa"/>
              <w:left w:w="90" w:type="dxa"/>
              <w:right w:w="9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Стадниченко Марина</w:t>
              <w:br/>
              <w:t>Алексеевна, старший</w:t>
              <w:br/>
              <w:t>преподаватель</w:t>
            </w:r>
          </w:p>
        </w:tc>
        <w:tc>
          <w:tcPr>
            <w:tcW w:type="dxa" w:w="6009"/>
            <w:vAlign w:val="top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  <w:tcMar>
              <w:top w:w="90" w:type="dxa"/>
              <w:bottom w:w="90" w:type="dxa"/>
              <w:left w:w="90" w:type="dxa"/>
              <w:right w:w="90" w:type="dxa"/>
            </w:tcMar>
          </w:tcPr>
          <w:p>
            <w:pPr>
              <w:spacing w:before="0" w:after="160"/>
              <w:jc w:val="left"/>
            </w:pPr>
            <w:r/>
            <w:r>
              <w:rPr>
                <w:rFonts w:ascii="Times New Roman" w:hAnsi="Times New Roman" w:eastAsia="Times New Roman"/>
                <w:sz w:val="24"/>
              </w:rPr>
              <w:t>Популяционное разнообразие митоспоровых грибов; особенности экологии, биологии, взаимоотношения с растениями-хозяинами.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Устойчивость растений к возбудителям болезней и пути ее достижения (диагностика и отбор устойчивых форм, индуцированная устойчивость).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Выделение грибов в чистую культуру, создание и поддержание коллекции фитопатогенных микроорганизмов.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Разнообразие фитопатогенных грибов и грибоподобных организмов (на примере района, города, охраняемой территории, парка и др.).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Грибные болезни лекарственных, цветочно-декоративных и хозяйственно-полезных растений.</w:t>
            </w:r>
          </w:p>
          <w:p>
            <w:pPr>
              <w:spacing w:before="0" w:after="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Поиск агентов биологической защиты растений среди почвенных грибов, актиномицетов и ризосферных бактерий.</w:t>
            </w:r>
          </w:p>
        </w:tc>
      </w:tr>
      <w:tr>
        <w:trPr>
          <w:cantSplit/>
        </w:trPr>
        <w:tc>
          <w:tcPr>
            <w:tcW w:type="dxa" w:w="4195"/>
            <w:vAlign w:val="top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  <w:tcMar>
              <w:top w:w="90" w:type="dxa"/>
              <w:bottom w:w="90" w:type="dxa"/>
              <w:left w:w="90" w:type="dxa"/>
              <w:right w:w="9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Садковская Анна Ивановна,</w:t>
              <w:br/>
              <w:t>старший преподаватель</w:t>
            </w:r>
          </w:p>
        </w:tc>
        <w:tc>
          <w:tcPr>
            <w:tcW w:type="dxa" w:w="6009"/>
            <w:vAlign w:val="top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  <w:tcMar>
              <w:top w:w="90" w:type="dxa"/>
              <w:bottom w:w="90" w:type="dxa"/>
              <w:left w:w="90" w:type="dxa"/>
              <w:right w:w="90" w:type="dxa"/>
            </w:tcMar>
          </w:tcPr>
          <w:p>
            <w:pPr>
              <w:spacing w:before="0" w:after="160"/>
              <w:jc w:val="left"/>
            </w:pPr>
            <w:r/>
            <w:r>
              <w:rPr>
                <w:rFonts w:ascii="Times New Roman" w:hAnsi="Times New Roman" w:eastAsia="Times New Roman"/>
                <w:sz w:val="24"/>
              </w:rPr>
              <w:t>Морфо-ценотическая характеристика ценопопуляций инвазивного вида Solidago canadensis (г. Минск).</w:t>
            </w:r>
          </w:p>
          <w:p>
            <w:pPr>
              <w:spacing w:before="0" w:after="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Популяции Solidago canadensis в условиях г. Минска: ценотическая структура и морфометрические параметры.</w:t>
            </w:r>
          </w:p>
        </w:tc>
      </w:tr>
      <w:tr>
        <w:trPr>
          <w:cantSplit/>
        </w:trPr>
        <w:tc>
          <w:tcPr>
            <w:tcW w:type="dxa" w:w="4195"/>
            <w:vAlign w:val="top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  <w:tcMar>
              <w:top w:w="90" w:type="dxa"/>
              <w:bottom w:w="90" w:type="dxa"/>
              <w:left w:w="90" w:type="dxa"/>
              <w:right w:w="9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Савицкая Карина Леонидовна,</w:t>
              <w:br/>
              <w:t>старший преподаватель</w:t>
            </w:r>
          </w:p>
        </w:tc>
        <w:tc>
          <w:tcPr>
            <w:tcW w:type="dxa" w:w="6009"/>
            <w:vAlign w:val="top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  <w:tcMar>
              <w:top w:w="90" w:type="dxa"/>
              <w:bottom w:w="90" w:type="dxa"/>
              <w:left w:w="90" w:type="dxa"/>
              <w:right w:w="90" w:type="dxa"/>
            </w:tcMar>
          </w:tcPr>
          <w:p>
            <w:pPr>
              <w:spacing w:before="0" w:after="160"/>
              <w:jc w:val="left"/>
            </w:pPr>
            <w:r/>
            <w:r>
              <w:rPr>
                <w:rFonts w:ascii="Times New Roman" w:hAnsi="Times New Roman" w:eastAsia="Times New Roman"/>
                <w:sz w:val="24"/>
              </w:rPr>
              <w:t>Сравнительный анализ видового состава и структуры парциальных флор разнотипных водных объектов (рек и мелиоративных каналов, водохранилищ и копаней и т.д.) на территории (города ..., равнины ..., района ... и т.д.).</w:t>
            </w:r>
          </w:p>
          <w:p>
            <w:pPr>
              <w:spacing w:before="0" w:after="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Адвентивный и аборигенный компоненты в парциальной флоре полосы отвода линий электропередач (классы в зависимости от напряжения) на какой территории…</w:t>
            </w:r>
          </w:p>
        </w:tc>
      </w:tr>
      <w:tr>
        <w:trPr>
          <w:cantSplit/>
        </w:trPr>
        <w:tc>
          <w:tcPr>
            <w:tcW w:type="dxa" w:w="4195"/>
            <w:vAlign w:val="top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  <w:tcMar>
              <w:top w:w="90" w:type="dxa"/>
              <w:bottom w:w="90" w:type="dxa"/>
              <w:left w:w="90" w:type="dxa"/>
              <w:right w:w="9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Букат Ольга Валентиновна,</w:t>
              <w:br/>
              <w:t>старший преподаватель</w:t>
            </w:r>
          </w:p>
        </w:tc>
        <w:tc>
          <w:tcPr>
            <w:tcW w:type="dxa" w:w="6009"/>
            <w:vAlign w:val="top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  <w:tcMar>
              <w:top w:w="90" w:type="dxa"/>
              <w:bottom w:w="90" w:type="dxa"/>
              <w:left w:w="90" w:type="dxa"/>
              <w:right w:w="90" w:type="dxa"/>
            </w:tcMar>
          </w:tcPr>
          <w:p>
            <w:pPr>
              <w:spacing w:before="0" w:after="160"/>
              <w:jc w:val="left"/>
            </w:pPr>
            <w:r/>
            <w:r>
              <w:rPr>
                <w:rFonts w:ascii="Times New Roman" w:hAnsi="Times New Roman" w:eastAsia="Times New Roman"/>
                <w:sz w:val="24"/>
              </w:rPr>
              <w:t>Лекарственные растения флоры Беларуси.</w:t>
            </w:r>
          </w:p>
          <w:p>
            <w:pPr>
              <w:spacing w:before="0" w:after="16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Применение лекарственных растений в натуральной косметике.</w:t>
            </w:r>
          </w:p>
          <w:p>
            <w:pPr>
              <w:spacing w:before="0" w:after="0"/>
              <w:jc w:val="left"/>
            </w:pPr>
            <w:r>
              <w:rPr>
                <w:rFonts w:ascii="Times New Roman" w:hAnsi="Times New Roman" w:eastAsia="Times New Roman"/>
                <w:sz w:val="24"/>
              </w:rPr>
              <w:t>CO2-экстракты как консервант.</w:t>
            </w:r>
          </w:p>
        </w:tc>
      </w:tr>
      <w:tr>
        <w:trPr>
          <w:cantSplit/>
        </w:trPr>
        <w:tc>
          <w:tcPr>
            <w:tcW w:type="dxa" w:w="4195"/>
            <w:vAlign w:val="top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  <w:tcMar>
              <w:top w:w="90" w:type="dxa"/>
              <w:bottom w:w="90" w:type="dxa"/>
              <w:left w:w="90" w:type="dxa"/>
              <w:right w:w="9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Амелишко Полина Сергеевна,</w:t>
              <w:br/>
              <w:t>ассистент</w:t>
            </w:r>
          </w:p>
        </w:tc>
        <w:tc>
          <w:tcPr>
            <w:tcW w:type="dxa" w:w="6009"/>
            <w:vAlign w:val="top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  <w:tcMar>
              <w:top w:w="90" w:type="dxa"/>
              <w:bottom w:w="90" w:type="dxa"/>
              <w:left w:w="90" w:type="dxa"/>
              <w:right w:w="9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Times New Roman" w:hAnsi="Times New Roman" w:eastAsia="Times New Roman"/>
                <w:sz w:val="24"/>
              </w:rPr>
              <w:t>Изучение биологических активностей различных ксилотрофных базидиомицетов</w:t>
            </w:r>
          </w:p>
        </w:tc>
      </w:tr>
    </w:tbl>
    <w:sectPr w:rsidR="00FC693F" w:rsidRPr="0006063C" w:rsidSect="00034616">
      <w:pgSz w:w="11906" w:h="16838"/>
      <w:pgMar w:top="1134" w:right="850" w:bottom="96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