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240"/>
        <w:rPr>
          <w:lang w:val="ru-RU"/>
        </w:rPr>
      </w:pPr>
      <w:r>
        <w:rPr>
          <w:rFonts w:cs="Times New Roman"/>
          <w:lang w:val="ru-RU"/>
        </w:rPr>
        <w:t>Тематика курсовых работ на 202</w:t>
      </w:r>
      <w:r>
        <w:rPr>
          <w:rFonts w:cs="Times New Roman"/>
          <w:lang w:val="ru-RU"/>
        </w:rPr>
        <w:t>6</w:t>
      </w:r>
      <w:r>
        <w:rPr>
          <w:rFonts w:cs="Times New Roman"/>
          <w:lang w:val="ru-RU"/>
        </w:rPr>
        <w:t>/20</w:t>
      </w:r>
      <w:r>
        <w:rPr>
          <w:rFonts w:cs="Times New Roman"/>
          <w:lang w:val="ru-RU"/>
        </w:rPr>
        <w:t>27</w:t>
      </w:r>
      <w:r>
        <w:rPr>
          <w:rFonts w:cs="Times New Roman"/>
          <w:lang w:val="ru-RU"/>
        </w:rPr>
        <w:t xml:space="preserve"> уч.г.</w:t>
      </w:r>
    </w:p>
    <w:p>
      <w:pPr>
        <w:pStyle w:val="Normal"/>
        <w:rPr>
          <w:lang w:val="ru-RU"/>
        </w:rPr>
      </w:pPr>
      <w:r>
        <w:rPr/>
      </w:r>
    </w:p>
    <w:tbl>
      <w:tblPr>
        <w:tblW w:w="9713" w:type="dxa"/>
        <w:jc w:val="left"/>
        <w:tblInd w:w="55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243"/>
        <w:gridCol w:w="6470"/>
      </w:tblGrid>
      <w:tr>
        <w:trPr/>
        <w:tc>
          <w:tcPr>
            <w:tcW w:w="3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Heading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ФИО научного руководителя, звание, ученая степень</w:t>
            </w:r>
          </w:p>
        </w:tc>
        <w:tc>
          <w:tcPr>
            <w:tcW w:w="6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Heading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Тем</w:t>
            </w:r>
            <w:r>
              <w:rPr>
                <w:b w:val="false"/>
                <w:bCs w:val="false"/>
              </w:rPr>
              <w:t>атика курсовых работ</w:t>
            </w:r>
          </w:p>
        </w:tc>
      </w:tr>
      <w:tr>
        <w:trPr/>
        <w:tc>
          <w:tcPr>
            <w:tcW w:w="324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Евтушенков А.Н., профессор, д.б.н.</w:t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 xml:space="preserve">Видовое разнообразие бактерий рода </w:t>
            </w:r>
            <w:r>
              <w:rPr>
                <w:i/>
                <w:iCs/>
              </w:rPr>
              <w:t>Pectobacterium</w:t>
            </w:r>
            <w:r>
              <w:rPr/>
              <w:t>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 xml:space="preserve">Распространение и вирулентность пектолитических бактерий рода </w:t>
            </w:r>
            <w:r>
              <w:rPr>
                <w:i/>
                <w:iCs/>
              </w:rPr>
              <w:t>Dickeya</w:t>
            </w:r>
            <w:r>
              <w:rPr/>
              <w:t>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 xml:space="preserve">Бактериофаги бактерий рода </w:t>
            </w:r>
            <w:r>
              <w:rPr>
                <w:i/>
                <w:iCs/>
              </w:rPr>
              <w:t>Pectobacterium</w:t>
            </w:r>
            <w:r>
              <w:rPr/>
              <w:t>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 xml:space="preserve">Факторы вирулентности бактерий рода </w:t>
            </w:r>
            <w:r>
              <w:rPr>
                <w:i/>
                <w:iCs/>
              </w:rPr>
              <w:t>Pectobacterium</w:t>
            </w:r>
            <w:r>
              <w:rPr/>
              <w:t>.</w:t>
            </w:r>
          </w:p>
        </w:tc>
      </w:tr>
      <w:tr>
        <w:trPr/>
        <w:tc>
          <w:tcPr>
            <w:tcW w:w="324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Николайчик Е.А., доцент, к.б.н.</w:t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Алгоритмы машинного обучения для анализа транскрипционной регуляции.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Базы данных для исследования транскрипционной регуляции.</w:t>
            </w:r>
          </w:p>
        </w:tc>
      </w:tr>
      <w:tr>
        <w:trPr/>
        <w:tc>
          <w:tcPr>
            <w:tcW w:w="324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Ходосовская А.М., доцент, к.б.н.</w:t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 xml:space="preserve">Оомицет </w:t>
            </w:r>
            <w:r>
              <w:rPr>
                <w:i/>
                <w:iCs/>
              </w:rPr>
              <w:t>Phytophthora infestans</w:t>
            </w:r>
            <w:r>
              <w:rPr/>
              <w:t xml:space="preserve"> и современные подходы к борьбе с ним.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 xml:space="preserve">Молекулярные механизмы фитопатогенного действия </w:t>
            </w:r>
            <w:r>
              <w:rPr>
                <w:i/>
                <w:iCs/>
              </w:rPr>
              <w:t>Phytophthora infestans</w:t>
            </w:r>
            <w:r>
              <w:rPr/>
              <w:t>.</w:t>
            </w:r>
          </w:p>
        </w:tc>
      </w:tr>
      <w:tr>
        <w:trPr/>
        <w:tc>
          <w:tcPr>
            <w:tcW w:w="324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Русь О.Б., доцент, к.</w:t>
            </w:r>
            <w:r>
              <w:rPr/>
              <w:t>х</w:t>
            </w:r>
            <w:r>
              <w:rPr/>
              <w:t>.н.</w:t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Сравнительная характеристика бактериофагов бактерий Pantoea и Dickeya.</w:t>
            </w:r>
          </w:p>
        </w:tc>
      </w:tr>
      <w:tr>
        <w:trPr/>
        <w:tc>
          <w:tcPr>
            <w:tcW w:w="324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Качан А.В., доцент, к.б.н.</w:t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Организация систем внеклеточной секреции белков у грамотрицательных бактерий.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Методы исследования систем межклеточного переноса белков грамотрицательных патогенных бактерий.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Принципы организации и функционирования систем внеклеточной секреции белков грамотрицательных бактерий.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Биоинженерия белков-автортранспортёров и их использование.</w:t>
            </w:r>
          </w:p>
        </w:tc>
      </w:tr>
      <w:tr>
        <w:trPr/>
        <w:tc>
          <w:tcPr>
            <w:tcW w:w="324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 xml:space="preserve">Щаюк А.Н., доцент, </w:t>
            </w:r>
            <w:r>
              <w:rPr/>
              <w:t>к.б.н.</w:t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Молекулярно-генетические маркеры злокачественных новообразований: роль в диагностике, прогнозировании и персонализированном лечении.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rPr/>
            </w:pPr>
            <w:r>
              <w:rPr/>
              <w:t>Вклад генетических особенностей человека и кишечного микробиома в</w:t>
            </w:r>
          </w:p>
          <w:p>
            <w:pPr>
              <w:pStyle w:val="TableContents"/>
              <w:spacing w:before="0" w:after="200"/>
              <w:rPr/>
            </w:pPr>
            <w:r>
              <w:rPr/>
              <w:t>развитие многофакторных заболеваний.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rPr/>
            </w:pPr>
            <w:r>
              <w:rPr/>
              <w:t>Генетические факторы индивидуальной болевой чувствительности и</w:t>
            </w:r>
          </w:p>
          <w:p>
            <w:pPr>
              <w:pStyle w:val="TableContents"/>
              <w:spacing w:before="0" w:after="200"/>
              <w:rPr/>
            </w:pPr>
            <w:r>
              <w:rPr/>
              <w:t>формирования хронической боли.</w:t>
            </w:r>
          </w:p>
        </w:tc>
      </w:tr>
      <w:tr>
        <w:trPr/>
        <w:tc>
          <w:tcPr>
            <w:tcW w:w="324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Бесараб Н.В.</w:t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Исследование бактериофагов, активных в отношении патогенных бактерий.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Идентификация мицелиальных грибов молекулярно-биологическими методами.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 xml:space="preserve">Характеристика молекулярно-биологических и физиологических свойств бактерий </w:t>
            </w:r>
            <w:r>
              <w:rPr>
                <w:i/>
                <w:iCs/>
              </w:rPr>
              <w:t>Pantoea agglomerans.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Характеристика бактериофагов, активных в отношении патогенных бактерий.</w:t>
            </w:r>
          </w:p>
        </w:tc>
      </w:tr>
      <w:tr>
        <w:trPr/>
        <w:tc>
          <w:tcPr>
            <w:tcW w:w="324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Дюбо Ю.В.</w:t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 xml:space="preserve">Разнообразие мобильных генетических элементов в геномах </w:t>
            </w:r>
            <w:r>
              <w:rPr>
                <w:i/>
                <w:iCs/>
              </w:rPr>
              <w:t>Pectobacterium.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 xml:space="preserve">Разнообразие профилей метилирования у </w:t>
            </w:r>
            <w:r>
              <w:rPr>
                <w:i/>
                <w:iCs/>
                <w:u w:val="none"/>
              </w:rPr>
              <w:t>Pectobacterium.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Механизмы транспорта продуктов расщепления пектата у </w:t>
            </w:r>
            <w:r>
              <w:rPr>
                <w:b w:val="false"/>
                <w:bCs w:val="false"/>
                <w:i/>
                <w:iCs/>
              </w:rPr>
              <w:t>Pectobacterium.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Моделирование комплексов транскрипционных факторов с лигандами.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Макромолекулярное моделирование комплексов белков и ДНК.</w:t>
            </w:r>
          </w:p>
        </w:tc>
      </w:tr>
      <w:tr>
        <w:trPr/>
        <w:tc>
          <w:tcPr>
            <w:tcW w:w="324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Колубако А.В.</w:t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 xml:space="preserve">Регуляция фитоиммунитета в растениях семейства Паслёновые в ответ на внедрение патогена </w:t>
            </w:r>
            <w:r>
              <w:rPr>
                <w:i/>
                <w:iCs/>
              </w:rPr>
              <w:t>Pectobacterium versatile</w:t>
            </w:r>
            <w:r>
              <w:rPr/>
              <w:t>.</w:t>
            </w:r>
          </w:p>
        </w:tc>
      </w:tr>
      <w:tr>
        <w:trPr/>
        <w:tc>
          <w:tcPr>
            <w:tcW w:w="324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Левданская А.И.</w:t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Сравнительная транскриптомика с использованием языка R.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Методы машинного обучения для анализа биологических данных.</w:t>
            </w:r>
          </w:p>
        </w:tc>
      </w:tr>
      <w:tr>
        <w:trPr/>
        <w:tc>
          <w:tcPr>
            <w:tcW w:w="324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Лукашевич В.А.</w:t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Анализ взаимодействия фитопатогенов рода Pectobacterium с растениями-хозяевами семейства Паслёновые.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Поиск и анализ факторов вирулентности и патогенности фитопатогенов рода Pectobacterium с применением микробиологических молекулярно-биологических методов.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Анализ пангенома фитопатогенных бактериальных фитопатогенов, инфицирующих растения семейства Паслёновые.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 xml:space="preserve">Сравнительный геномный анализ фитопатогенных бактерий родов </w:t>
            </w:r>
            <w:r>
              <w:rPr>
                <w:rStyle w:val="Emphasis"/>
              </w:rPr>
              <w:t>Pectobacterium</w:t>
            </w:r>
            <w:r>
              <w:rPr/>
              <w:t xml:space="preserve"> и </w:t>
            </w:r>
            <w:r>
              <w:rPr>
                <w:rStyle w:val="Emphasis"/>
              </w:rPr>
              <w:t>Pant</w:t>
            </w:r>
            <w:r>
              <w:rPr>
                <w:rStyle w:val="Emphasis"/>
              </w:rPr>
              <w:t>o</w:t>
            </w:r>
            <w:r>
              <w:rPr>
                <w:rStyle w:val="Emphasis"/>
              </w:rPr>
              <w:t>ea</w:t>
            </w:r>
            <w:r>
              <w:rPr/>
              <w:t> с целью поиска видо- и штаммспецифических последовательностей, ассоциированных с факторами вирулентности и патогенности.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Сравнительный геномный анализ систем устойчивости растений семейства Паслёновых к бактериальным фитопатогенам.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Сравнительный геномный анализ систем секреции бактериальных фитопатогенов, инфицирующих растения семейства Паслёновых.</w:t>
            </w:r>
          </w:p>
        </w:tc>
      </w:tr>
      <w:tr>
        <w:trPr/>
        <w:tc>
          <w:tcPr>
            <w:tcW w:w="324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Песоцкая К.Ю.</w:t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Экзополисахариды как фактор вирулентности фитопатогенных бактерий.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>
                <w:i/>
                <w:iCs/>
              </w:rPr>
              <w:t xml:space="preserve">Erwinia amylovora </w:t>
            </w:r>
            <w:r>
              <w:rPr/>
              <w:t>– возбудитель бактериального ожога плодовых культур.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Проблема бактериозов растений и подходы к ее решению.</w:t>
            </w:r>
          </w:p>
        </w:tc>
      </w:tr>
      <w:tr>
        <w:trPr/>
        <w:tc>
          <w:tcPr>
            <w:tcW w:w="324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Шруб Е.В.</w:t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Молекулярные механизмы устойчивости растений к некротрофным бактериям.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Роль рецепторподобных киназ с лейцин-богатыми повторами II подсемейства в растительном иммунитете.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Механизмы работы иммунитета, опосредованного микробными паттернами (MTI) в растениях.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Механизмы работы иммунитета, опосредованного эффекторами (ETI) в растениях.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Методы генной инженерии основанные на механизме РНК-интерференции.</w:t>
            </w:r>
          </w:p>
        </w:tc>
      </w:tr>
      <w:tr>
        <w:trPr/>
        <w:tc>
          <w:tcPr>
            <w:tcW w:w="324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Шарангович М.А.</w:t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Транскрипционный регулятор SlyA фитопатогенных бактерий.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Цитрат как сигнальная молекула у микроорганизмов.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Экспериментальные и биоинформатические методы в изучении транскрипционной регуляции.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Регуляция пектинолиза у представителей семейства Pectobacteriaceae.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Регуляторные РНК фитопатогенных бактерий.</w:t>
            </w:r>
          </w:p>
        </w:tc>
      </w:tr>
      <w:tr>
        <w:trPr/>
        <w:tc>
          <w:tcPr>
            <w:tcW w:w="324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Некрашевич А.Ю.</w:t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 xml:space="preserve">Характеристика основных групп R-генов в растениях семейства паслёновые. 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Филогения группы Petota рода Solanum и перспективы её исследования.</w:t>
            </w:r>
          </w:p>
        </w:tc>
      </w:tr>
      <w:tr>
        <w:trPr/>
        <w:tc>
          <w:tcPr>
            <w:tcW w:w="324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6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Contents"/>
              <w:spacing w:before="0" w:after="200"/>
              <w:rPr/>
            </w:pPr>
            <w:r>
              <w:rPr/>
              <w:t>Особенности анализа геномов растений: проблемы и современные инструменты.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907" w:right="907" w:header="0" w:top="1134" w:footer="0" w:bottom="85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Times New Roman" w:hAnsi="Times New Roman" w:eastAsia="Times New Roman" w:cs="" w:cstheme="minorBidi"/>
      <w:color w:val="auto"/>
      <w:kern w:val="0"/>
      <w:sz w:val="26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10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22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32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40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50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60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70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80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90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Верхний колонтитул Знак"/>
    <w:basedOn w:val="DefaultParagraphFont"/>
    <w:link w:val="a5"/>
    <w:uiPriority w:val="99"/>
    <w:qFormat/>
    <w:rsid w:val="00e618bf"/>
    <w:rPr/>
  </w:style>
  <w:style w:type="character" w:styleId="Style6" w:customStyle="1">
    <w:name w:val="Нижний колонтитул Знак"/>
    <w:basedOn w:val="DefaultParagraphFont"/>
    <w:link w:val="a7"/>
    <w:uiPriority w:val="99"/>
    <w:qFormat/>
    <w:rsid w:val="00e618bf"/>
    <w:rPr/>
  </w:style>
  <w:style w:type="character" w:styleId="1" w:customStyle="1">
    <w:name w:val="Заголовок 1 Знак"/>
    <w:basedOn w:val="DefaultParagraphFont"/>
    <w:link w:val="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2" w:customStyle="1">
    <w:name w:val="Заголовок 2 Знак"/>
    <w:basedOn w:val="DefaultParagraphFont"/>
    <w:link w:val="2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3" w:customStyle="1">
    <w:name w:val="Заголовок 3 Знак"/>
    <w:basedOn w:val="DefaultParagraphFont"/>
    <w:link w:val="3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Style7" w:customStyle="1">
    <w:name w:val="Заголовок Знак"/>
    <w:basedOn w:val="DefaultParagraphFont"/>
    <w:link w:val="aa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tyle8" w:customStyle="1">
    <w:name w:val="Подзаголовок Знак"/>
    <w:basedOn w:val="DefaultParagraphFont"/>
    <w:link w:val="ac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tyle9" w:customStyle="1">
    <w:name w:val="Основной текст Знак"/>
    <w:basedOn w:val="DefaultParagraphFont"/>
    <w:link w:val="af"/>
    <w:uiPriority w:val="99"/>
    <w:qFormat/>
    <w:rsid w:val="00aa1d8d"/>
    <w:rPr/>
  </w:style>
  <w:style w:type="character" w:styleId="21" w:customStyle="1">
    <w:name w:val="Основной текст 2 Знак"/>
    <w:basedOn w:val="DefaultParagraphFont"/>
    <w:link w:val="23"/>
    <w:uiPriority w:val="99"/>
    <w:qFormat/>
    <w:rsid w:val="00aa1d8d"/>
    <w:rPr/>
  </w:style>
  <w:style w:type="character" w:styleId="31" w:customStyle="1">
    <w:name w:val="Основной текст 3 Знак"/>
    <w:basedOn w:val="DefaultParagraphFont"/>
    <w:link w:val="33"/>
    <w:uiPriority w:val="99"/>
    <w:qFormat/>
    <w:rsid w:val="00aa1d8d"/>
    <w:rPr>
      <w:sz w:val="16"/>
      <w:szCs w:val="16"/>
    </w:rPr>
  </w:style>
  <w:style w:type="character" w:styleId="Style10" w:customStyle="1">
    <w:name w:val="Текст макроса Знак"/>
    <w:basedOn w:val="DefaultParagraphFont"/>
    <w:link w:val="af3"/>
    <w:uiPriority w:val="99"/>
    <w:qFormat/>
    <w:rsid w:val="0029639d"/>
    <w:rPr>
      <w:rFonts w:ascii="Courier" w:hAnsi="Courier"/>
      <w:sz w:val="20"/>
      <w:szCs w:val="20"/>
    </w:rPr>
  </w:style>
  <w:style w:type="character" w:styleId="22" w:customStyle="1">
    <w:name w:val="Цитата 2 Знак"/>
    <w:basedOn w:val="DefaultParagraphFont"/>
    <w:link w:val="27"/>
    <w:uiPriority w:val="29"/>
    <w:qFormat/>
    <w:rsid w:val="00fc693f"/>
    <w:rPr>
      <w:i/>
      <w:iCs/>
      <w:color w:val="000000" w:themeColor="text1"/>
    </w:rPr>
  </w:style>
  <w:style w:type="character" w:styleId="4" w:customStyle="1">
    <w:name w:val="Заголовок 4 Знак"/>
    <w:basedOn w:val="DefaultParagraphFont"/>
    <w:link w:val="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5" w:customStyle="1">
    <w:name w:val="Заголовок 5 Знак"/>
    <w:basedOn w:val="DefaultParagraphFont"/>
    <w:link w:val="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6" w:customStyle="1">
    <w:name w:val="Заголовок 6 Знак"/>
    <w:basedOn w:val="DefaultParagraphFont"/>
    <w:link w:val="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7" w:customStyle="1">
    <w:name w:val="Заголовок 7 Знак"/>
    <w:basedOn w:val="DefaultParagraphFont"/>
    <w:link w:val="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8" w:customStyle="1">
    <w:name w:val="Заголовок 8 Знак"/>
    <w:basedOn w:val="DefaultParagraphFont"/>
    <w:link w:val="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9" w:customStyle="1">
    <w:name w:val="Заголовок 9 Знак"/>
    <w:basedOn w:val="DefaultParagraphFont"/>
    <w:link w:val="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Style11" w:customStyle="1">
    <w:name w:val="Выделенная цитата Знак"/>
    <w:basedOn w:val="DefaultParagraphFont"/>
    <w:link w:val="af8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link w:val="af0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a6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a8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6"/>
      <w:szCs w:val="22"/>
      <w:lang w:val="en-US" w:eastAsia="en-US" w:bidi="ar-SA"/>
    </w:rPr>
  </w:style>
  <w:style w:type="paragraph" w:styleId="Title">
    <w:name w:val="Title"/>
    <w:basedOn w:val="Normal"/>
    <w:next w:val="Normal"/>
    <w:link w:val="ab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ad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24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34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List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af4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28"/>
    <w:uiPriority w:val="29"/>
    <w:qFormat/>
    <w:rsid w:val="00fc693f"/>
    <w:pPr/>
    <w:rPr>
      <w:i/>
      <w:iCs/>
      <w:color w:val="000000" w:themeColor="text1"/>
    </w:rPr>
  </w:style>
  <w:style w:type="paragraph" w:styleId="Caption1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af9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/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LibreOffice/6.4.7.2$Linux_X86_64 LibreOffice_project/40$Build-2</Application>
  <Pages>4</Pages>
  <Words>455</Words>
  <Characters>3946</Characters>
  <CharactersWithSpaces>4333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en-US</dc:language>
  <cp:lastModifiedBy/>
  <dcterms:modified xsi:type="dcterms:W3CDTF">2026-10-23T15:24:44Z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