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20"/>
        <w:jc w:val="center"/>
      </w:pPr>
      <w:r>
        <w:rPr>
          <w:rFonts w:ascii="Times New Roman" w:hAnsi="Times New Roman" w:eastAsia="Times New Roman"/>
          <w:b w:val="0"/>
          <w:sz w:val="32"/>
        </w:rPr>
        <w:t>Тематика магистерских работ на 2025/2026 уч.г.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rPr>
          <w:tblHeader w:val="true"/>
        </w:trPr>
        <w:tc>
          <w:tcPr>
            <w:tcW w:type="dxa" w:w="4989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ФИО научного руководителя, ученая</w:t>
              <w:br/>
              <w:t>степень, звание</w:t>
            </w:r>
          </w:p>
        </w:tc>
        <w:tc>
          <w:tcPr>
            <w:tcW w:type="dxa" w:w="4989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spacing w:after="0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Темы</w:t>
            </w:r>
          </w:p>
        </w:tc>
      </w:tr>
      <w:tr>
        <w:tc>
          <w:tcPr>
            <w:tcW w:type="dxa" w:w="4989"/>
            <w:vAlign w:val="top"/>
            <w:tcMar>
              <w:top w:w="100" w:type="dxa"/>
              <w:left w:w="100" w:type="dxa"/>
              <w:bottom w:w="100" w:type="dxa"/>
              <w:right w:w="10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spacing w:after="0"/>
              <w:jc w:val="left"/>
            </w:pPr>
            <w:r>
              <w:rPr>
                <w:rFonts w:ascii="Times New Roman" w:hAnsi="Times New Roman" w:eastAsia="Times New Roman"/>
                <w:sz w:val="28"/>
              </w:rPr>
              <w:t>Храмцов А.К., к.б.н., доцент</w:t>
            </w:r>
          </w:p>
        </w:tc>
        <w:tc>
          <w:tcPr>
            <w:tcW w:type="dxa" w:w="4989"/>
            <w:vAlign w:val="top"/>
            <w:tcMar>
              <w:top w:w="100" w:type="dxa"/>
              <w:left w:w="100" w:type="dxa"/>
              <w:bottom w:w="100" w:type="dxa"/>
              <w:right w:w="10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spacing w:after="160"/>
              <w:jc w:val="left"/>
            </w:pPr>
            <w:r>
              <w:rPr>
                <w:rFonts w:ascii="Times New Roman" w:hAnsi="Times New Roman" w:eastAsia="Times New Roman"/>
                <w:sz w:val="28"/>
              </w:rPr>
              <w:t>Фитопатогенные микромицеты заказника «Печерский».</w:t>
            </w:r>
          </w:p>
        </w:tc>
      </w:tr>
      <w:tr>
        <w:tc>
          <w:tcPr>
            <w:tcW w:type="dxa" w:w="4989"/>
            <w:vAlign w:val="top"/>
            <w:tcMar>
              <w:top w:w="100" w:type="dxa"/>
              <w:left w:w="100" w:type="dxa"/>
              <w:bottom w:w="100" w:type="dxa"/>
              <w:right w:w="10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spacing w:after="0"/>
              <w:jc w:val="left"/>
            </w:pPr>
            <w:r>
              <w:rPr>
                <w:rFonts w:ascii="Times New Roman" w:hAnsi="Times New Roman" w:eastAsia="Times New Roman"/>
                <w:sz w:val="28"/>
              </w:rPr>
              <w:t>Гасич Е.Л., д.б.н., доцент</w:t>
            </w:r>
          </w:p>
        </w:tc>
        <w:tc>
          <w:tcPr>
            <w:tcW w:type="dxa" w:w="4989"/>
            <w:vAlign w:val="top"/>
            <w:tcMar>
              <w:top w:w="100" w:type="dxa"/>
              <w:left w:w="100" w:type="dxa"/>
              <w:bottom w:w="100" w:type="dxa"/>
              <w:right w:w="100" w:type="dxa"/>
            </w:tcMa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spacing w:after="160"/>
              <w:jc w:val="left"/>
            </w:pPr>
            <w:r>
              <w:rPr>
                <w:rFonts w:ascii="Times New Roman" w:hAnsi="Times New Roman" w:eastAsia="Times New Roman"/>
                <w:sz w:val="28"/>
              </w:rPr>
              <w:t>Лекарственная устойчивость вируса Sars-Cov 2 к противовирусным препаратам на основе моноклональных антител.</w:t>
            </w:r>
          </w:p>
        </w:tc>
      </w:tr>
    </w:tbl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